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769514" w14:textId="5D2651B5" w:rsidR="00661E19" w:rsidRPr="00661E19" w:rsidRDefault="00661E19" w:rsidP="00661E19">
      <w:pPr>
        <w:jc w:val="right"/>
        <w:rPr>
          <w:rFonts w:ascii="Times New Roman" w:hAnsi="Times New Roman" w:cs="Times New Roman"/>
          <w:b/>
          <w:bCs/>
        </w:rPr>
      </w:pPr>
      <w:r w:rsidRPr="00661E19">
        <w:rPr>
          <w:rFonts w:ascii="Times New Roman" w:hAnsi="Times New Roman" w:cs="Times New Roman"/>
          <w:b/>
          <w:bCs/>
        </w:rPr>
        <w:t>2.pielikums</w:t>
      </w:r>
    </w:p>
    <w:p w14:paraId="3468C86C" w14:textId="77777777" w:rsidR="00661E19" w:rsidRDefault="00661E19" w:rsidP="00661E19">
      <w:pPr>
        <w:spacing w:after="0" w:line="240" w:lineRule="auto"/>
        <w:jc w:val="right"/>
        <w:rPr>
          <w:rFonts w:ascii="Times New Roman" w:hAnsi="Times New Roman" w:cs="Times New Roman"/>
          <w:b/>
          <w:noProof/>
          <w:color w:val="000000" w:themeColor="text1"/>
          <w:sz w:val="24"/>
          <w:szCs w:val="24"/>
        </w:rPr>
      </w:pPr>
    </w:p>
    <w:p w14:paraId="699113C4" w14:textId="490FE259" w:rsidR="00DE449D" w:rsidRDefault="00474F9C" w:rsidP="00DE449D">
      <w:pPr>
        <w:spacing w:after="0" w:line="240" w:lineRule="auto"/>
        <w:jc w:val="center"/>
        <w:rPr>
          <w:rFonts w:ascii="Times New Roman" w:hAnsi="Times New Roman" w:cs="Times New Roman"/>
          <w:b/>
          <w:noProof/>
          <w:color w:val="000000" w:themeColor="text1"/>
          <w:sz w:val="24"/>
          <w:szCs w:val="24"/>
        </w:rPr>
      </w:pPr>
      <w:r w:rsidRPr="00BB5C34">
        <w:rPr>
          <w:rFonts w:ascii="Times New Roman" w:hAnsi="Times New Roman" w:cs="Times New Roman"/>
          <w:b/>
          <w:noProof/>
          <w:color w:val="000000" w:themeColor="text1"/>
          <w:sz w:val="24"/>
          <w:szCs w:val="24"/>
        </w:rPr>
        <w:t xml:space="preserve">Tematiskais priekšnosacījums Nr.10 (4.1.) - Stratēģiskās politikas satvars </w:t>
      </w:r>
    </w:p>
    <w:p w14:paraId="1F1305A8" w14:textId="1F8C6F28" w:rsidR="00474F9C" w:rsidRPr="00BB5C34" w:rsidRDefault="00474F9C" w:rsidP="00DE449D">
      <w:pPr>
        <w:spacing w:after="0" w:line="240" w:lineRule="auto"/>
        <w:jc w:val="center"/>
        <w:rPr>
          <w:rFonts w:ascii="Times New Roman" w:hAnsi="Times New Roman" w:cs="Times New Roman"/>
          <w:b/>
          <w:noProof/>
          <w:color w:val="000000" w:themeColor="text1"/>
          <w:sz w:val="24"/>
          <w:szCs w:val="24"/>
        </w:rPr>
      </w:pPr>
      <w:r w:rsidRPr="00BB5C34">
        <w:rPr>
          <w:rFonts w:ascii="Times New Roman" w:hAnsi="Times New Roman" w:cs="Times New Roman"/>
          <w:b/>
          <w:bCs/>
          <w:noProof/>
          <w:color w:val="000000" w:themeColor="text1"/>
          <w:sz w:val="24"/>
          <w:szCs w:val="24"/>
        </w:rPr>
        <w:t>aktīvai darba tirgus politikai</w:t>
      </w:r>
      <w:r w:rsidR="009E2795" w:rsidRPr="00BB5C34">
        <w:rPr>
          <w:rFonts w:ascii="Times New Roman" w:hAnsi="Times New Roman" w:cs="Times New Roman"/>
          <w:b/>
          <w:bCs/>
          <w:noProof/>
          <w:color w:val="000000" w:themeColor="text1"/>
          <w:sz w:val="24"/>
          <w:szCs w:val="24"/>
        </w:rPr>
        <w:t>:</w:t>
      </w:r>
    </w:p>
    <w:p w14:paraId="37CCC583" w14:textId="74ED44A8" w:rsidR="00597F54" w:rsidRPr="00BB5C34" w:rsidRDefault="00474F9C" w:rsidP="00DE449D">
      <w:pPr>
        <w:spacing w:after="0" w:line="240" w:lineRule="auto"/>
        <w:jc w:val="center"/>
        <w:rPr>
          <w:rFonts w:ascii="Times New Roman" w:hAnsi="Times New Roman" w:cs="Times New Roman"/>
          <w:b/>
          <w:color w:val="000000" w:themeColor="text1"/>
          <w:sz w:val="24"/>
          <w:szCs w:val="24"/>
        </w:rPr>
      </w:pPr>
      <w:r w:rsidRPr="00BB5C34">
        <w:rPr>
          <w:rFonts w:ascii="Times New Roman" w:hAnsi="Times New Roman" w:cs="Times New Roman"/>
          <w:b/>
          <w:color w:val="000000" w:themeColor="text1"/>
          <w:sz w:val="24"/>
          <w:szCs w:val="24"/>
        </w:rPr>
        <w:t>5.kritērijs – Jaunatnes nodarbinātības intervence</w:t>
      </w:r>
      <w:r w:rsidR="00480F5C">
        <w:rPr>
          <w:rFonts w:ascii="Times New Roman" w:hAnsi="Times New Roman" w:cs="Times New Roman"/>
          <w:b/>
          <w:color w:val="000000" w:themeColor="text1"/>
          <w:sz w:val="24"/>
          <w:szCs w:val="24"/>
        </w:rPr>
        <w:t>s</w:t>
      </w:r>
    </w:p>
    <w:p w14:paraId="45C2175E" w14:textId="6E71F932" w:rsidR="00474F9C" w:rsidRDefault="00474F9C" w:rsidP="00DE449D">
      <w:pPr>
        <w:spacing w:after="0" w:line="240" w:lineRule="auto"/>
        <w:jc w:val="both"/>
        <w:rPr>
          <w:rFonts w:ascii="Times New Roman" w:hAnsi="Times New Roman" w:cs="Times New Roman"/>
          <w:color w:val="000000" w:themeColor="text1"/>
          <w:sz w:val="24"/>
          <w:szCs w:val="24"/>
        </w:rPr>
      </w:pPr>
    </w:p>
    <w:p w14:paraId="2571F338" w14:textId="77777777" w:rsidR="00DE449D" w:rsidRPr="00BB5C34" w:rsidRDefault="00DE449D" w:rsidP="00DE449D">
      <w:pPr>
        <w:spacing w:after="0" w:line="240" w:lineRule="auto"/>
        <w:jc w:val="both"/>
        <w:rPr>
          <w:rFonts w:ascii="Times New Roman" w:hAnsi="Times New Roman" w:cs="Times New Roman"/>
          <w:color w:val="000000" w:themeColor="text1"/>
          <w:sz w:val="24"/>
          <w:szCs w:val="24"/>
        </w:rPr>
      </w:pPr>
    </w:p>
    <w:p w14:paraId="420756C0" w14:textId="77777777" w:rsidR="00474F9C" w:rsidRPr="00BB5C34" w:rsidRDefault="00474F9C" w:rsidP="00DE449D">
      <w:pPr>
        <w:spacing w:after="0" w:line="240" w:lineRule="auto"/>
        <w:jc w:val="both"/>
        <w:rPr>
          <w:rFonts w:ascii="Times New Roman" w:hAnsi="Times New Roman" w:cs="Times New Roman"/>
          <w:color w:val="000000" w:themeColor="text1"/>
          <w:sz w:val="24"/>
          <w:szCs w:val="24"/>
        </w:rPr>
      </w:pPr>
      <w:r w:rsidRPr="00BB5C34">
        <w:rPr>
          <w:rFonts w:ascii="Times New Roman" w:hAnsi="Times New Roman" w:cs="Times New Roman"/>
          <w:color w:val="000000" w:themeColor="text1"/>
          <w:sz w:val="24"/>
          <w:szCs w:val="24"/>
        </w:rPr>
        <w:t>Dokumenti, kas regulē šo jomu:</w:t>
      </w:r>
    </w:p>
    <w:p w14:paraId="2E97E947" w14:textId="77777777" w:rsidR="00474F9C" w:rsidRPr="00BB5C34" w:rsidRDefault="00D87047" w:rsidP="00DE449D">
      <w:pPr>
        <w:pStyle w:val="ListParagraph"/>
        <w:numPr>
          <w:ilvl w:val="0"/>
          <w:numId w:val="1"/>
        </w:numPr>
        <w:spacing w:after="0" w:line="240" w:lineRule="auto"/>
        <w:jc w:val="both"/>
        <w:rPr>
          <w:rFonts w:ascii="Times New Roman" w:hAnsi="Times New Roman" w:cs="Times New Roman"/>
          <w:color w:val="000000" w:themeColor="text1"/>
          <w:sz w:val="24"/>
          <w:szCs w:val="24"/>
        </w:rPr>
      </w:pPr>
      <w:hyperlink r:id="rId8" w:history="1">
        <w:r w:rsidR="00474F9C" w:rsidRPr="00BB5C34">
          <w:rPr>
            <w:rStyle w:val="Hyperlink"/>
            <w:rFonts w:ascii="Times New Roman" w:hAnsi="Times New Roman" w:cs="Times New Roman"/>
            <w:iCs/>
            <w:color w:val="000000" w:themeColor="text1"/>
            <w:sz w:val="24"/>
            <w:szCs w:val="24"/>
          </w:rPr>
          <w:t>Ministru kabineta 25.01.2011. noteikumi Nr.75 “Noteikumi par aktīvo nodarbinātības pasākumu un preventīvo bezdarba samazināšanas pasākumu organizēšanas un finansēšanas kārtību un pasākumu īstenotāju izvēles principiem</w:t>
        </w:r>
      </w:hyperlink>
      <w:r w:rsidR="00474F9C" w:rsidRPr="00BB5C34">
        <w:rPr>
          <w:rFonts w:ascii="Times New Roman" w:hAnsi="Times New Roman" w:cs="Times New Roman"/>
          <w:iCs/>
          <w:color w:val="000000" w:themeColor="text1"/>
          <w:sz w:val="24"/>
          <w:szCs w:val="24"/>
        </w:rPr>
        <w:t xml:space="preserve">” </w:t>
      </w:r>
      <w:r w:rsidR="00474F9C" w:rsidRPr="00BB5C34">
        <w:rPr>
          <w:rStyle w:val="FootnoteReference"/>
          <w:rFonts w:ascii="Times New Roman" w:hAnsi="Times New Roman" w:cs="Times New Roman"/>
          <w:iCs/>
          <w:color w:val="000000" w:themeColor="text1"/>
          <w:sz w:val="24"/>
          <w:szCs w:val="24"/>
        </w:rPr>
        <w:footnoteReference w:id="1"/>
      </w:r>
      <w:r w:rsidR="00474F9C" w:rsidRPr="00BB5C34">
        <w:rPr>
          <w:rFonts w:ascii="Times New Roman" w:hAnsi="Times New Roman" w:cs="Times New Roman"/>
          <w:iCs/>
          <w:color w:val="000000" w:themeColor="text1"/>
          <w:sz w:val="24"/>
          <w:szCs w:val="24"/>
        </w:rPr>
        <w:t xml:space="preserve"> iekļauj uz jauniešiem, kas nemācās, nestrādā un neapgūst arodu (NEET) vērstus pasākumus nodarbinātības veicināšanai. Noteikumu 3.1. sadaļa “Profesionālā apmācība, </w:t>
      </w:r>
      <w:proofErr w:type="spellStart"/>
      <w:r w:rsidR="00474F9C" w:rsidRPr="00BB5C34">
        <w:rPr>
          <w:rFonts w:ascii="Times New Roman" w:hAnsi="Times New Roman" w:cs="Times New Roman"/>
          <w:iCs/>
          <w:color w:val="000000" w:themeColor="text1"/>
          <w:sz w:val="24"/>
          <w:szCs w:val="24"/>
        </w:rPr>
        <w:t>pārkvalifikācija</w:t>
      </w:r>
      <w:proofErr w:type="spellEnd"/>
      <w:r w:rsidR="00474F9C" w:rsidRPr="00BB5C34">
        <w:rPr>
          <w:rFonts w:ascii="Times New Roman" w:hAnsi="Times New Roman" w:cs="Times New Roman"/>
          <w:iCs/>
          <w:color w:val="000000" w:themeColor="text1"/>
          <w:sz w:val="24"/>
          <w:szCs w:val="24"/>
        </w:rPr>
        <w:t xml:space="preserve">, kvalifikācijas paaugstināšana un neformālās izglītības ieguve” atrunā kārtību, kādā Nodarbinātības valsts aģentūras klienti (ieskaitot NEET jauniešus) tie iesaistīti kvalifikācijas paaugstināšanas pasākumos. Noteikumu 82.1. punkts paredz jauniešu iesaisti subsidētās nodarbinātības pasākumos. Noteikumu 131.4.punkts paredz NEET jauniešu iesaisti pasākumā </w:t>
      </w:r>
      <w:r w:rsidR="00474F9C" w:rsidRPr="00BB5C34">
        <w:rPr>
          <w:rFonts w:ascii="Times New Roman" w:hAnsi="Times New Roman" w:cs="Times New Roman"/>
          <w:color w:val="000000" w:themeColor="text1"/>
          <w:sz w:val="24"/>
          <w:szCs w:val="24"/>
          <w:shd w:val="clear" w:color="auto" w:fill="FFFFFF"/>
        </w:rPr>
        <w:t xml:space="preserve">"Darbam nepieciešamo iemaņu attīstība" (brīvprātīgā darba aktivitātes). Tāpat NEET jaunieši, kas ir ieguvuši reģistrētā bezdarbnieka statusu, </w:t>
      </w:r>
      <w:r w:rsidR="00201C1A" w:rsidRPr="00BB5C34">
        <w:rPr>
          <w:rFonts w:ascii="Times New Roman" w:hAnsi="Times New Roman" w:cs="Times New Roman"/>
          <w:color w:val="000000" w:themeColor="text1"/>
          <w:sz w:val="24"/>
          <w:szCs w:val="24"/>
          <w:shd w:val="clear" w:color="auto" w:fill="FFFFFF"/>
        </w:rPr>
        <w:t xml:space="preserve">balstoties uz profilēšanas rezultātiem, </w:t>
      </w:r>
      <w:r w:rsidR="00474F9C" w:rsidRPr="00BB5C34">
        <w:rPr>
          <w:rFonts w:ascii="Times New Roman" w:hAnsi="Times New Roman" w:cs="Times New Roman"/>
          <w:color w:val="000000" w:themeColor="text1"/>
          <w:sz w:val="24"/>
          <w:szCs w:val="24"/>
          <w:shd w:val="clear" w:color="auto" w:fill="FFFFFF"/>
        </w:rPr>
        <w:t xml:space="preserve">var saņemt atbalstu darba meklēšanā un iesaistīties dažādos aktīvās darba tirgus politikas pasākumos, atbilstoši iegūtajām zināšanām un prasmēm, kā arī laika, kas ir pavadīts bezdarba situācijā (karjeras konsultācijas, īstermiņa un ilgtermiņa apmācību pasākumi, ieskaitot profesionālās izglītības pasākumus un atvērto tiešsaistes kursu platformā piedāvātu augstākās izglītības iestādes vai nozares uzņēmuma izstrādātu mācību programmas, </w:t>
      </w:r>
      <w:r w:rsidR="00201C1A" w:rsidRPr="00BB5C34">
        <w:rPr>
          <w:rFonts w:ascii="Times New Roman" w:hAnsi="Times New Roman" w:cs="Times New Roman"/>
          <w:color w:val="000000" w:themeColor="text1"/>
          <w:sz w:val="24"/>
          <w:szCs w:val="24"/>
          <w:shd w:val="clear" w:color="auto" w:fill="FFFFFF"/>
        </w:rPr>
        <w:t>subsidētā nodarbinātība, kompleksi atbalsta pasākumi ilgstošā bezdarba situācijā u.c.).</w:t>
      </w:r>
      <w:r w:rsidR="00252FC4" w:rsidRPr="00BB5C34">
        <w:rPr>
          <w:rFonts w:ascii="Times New Roman" w:hAnsi="Times New Roman" w:cs="Times New Roman"/>
          <w:color w:val="000000" w:themeColor="text1"/>
          <w:sz w:val="24"/>
          <w:szCs w:val="24"/>
          <w:shd w:val="clear" w:color="auto" w:fill="FFFFFF"/>
        </w:rPr>
        <w:t xml:space="preserve"> Pasākumu īstenošanas kvalitātes kritēriji ir atrunāti 2.sadaļā “Pasākumu īstenotāju izvēle” (kritēriji izglītības iestādēm, īstenojot apmācību pasākumus (15.punkts), Labklājības ministrijas Apmācību pasākumu Komisijas sastāvu apmācību pasākumu saraksta apstiprināšanai un šī saraksta atjaunošanas biežumu (22.punkts) u.c., piemēram, prasības darba devējiem, kas vēlas izveidot subsidētas darba vietas). </w:t>
      </w:r>
    </w:p>
    <w:p w14:paraId="14DD275B" w14:textId="77777777" w:rsidR="00474F9C" w:rsidRPr="00BB5C34" w:rsidRDefault="00D87047" w:rsidP="00DE449D">
      <w:pPr>
        <w:pStyle w:val="ListParagraph"/>
        <w:numPr>
          <w:ilvl w:val="0"/>
          <w:numId w:val="1"/>
        </w:numPr>
        <w:spacing w:after="0" w:line="240" w:lineRule="auto"/>
        <w:jc w:val="both"/>
        <w:rPr>
          <w:rFonts w:ascii="Times New Roman" w:hAnsi="Times New Roman" w:cs="Times New Roman"/>
          <w:color w:val="000000" w:themeColor="text1"/>
          <w:sz w:val="24"/>
          <w:szCs w:val="24"/>
        </w:rPr>
      </w:pPr>
      <w:hyperlink r:id="rId9" w:history="1">
        <w:r w:rsidR="00474F9C" w:rsidRPr="00BB5C34">
          <w:rPr>
            <w:rStyle w:val="Hyperlink"/>
            <w:rFonts w:ascii="Times New Roman" w:hAnsi="Times New Roman" w:cs="Times New Roman"/>
            <w:iCs/>
            <w:color w:val="000000" w:themeColor="text1"/>
            <w:sz w:val="24"/>
            <w:szCs w:val="24"/>
          </w:rPr>
          <w:t>Ministru kabineta 18.12.2012. noteikumi Nr.876 “Nodarbinātības valsts aģentūras nolikums”</w:t>
        </w:r>
      </w:hyperlink>
      <w:r w:rsidR="00474F9C" w:rsidRPr="00BB5C34">
        <w:rPr>
          <w:rStyle w:val="FootnoteReference"/>
          <w:rFonts w:ascii="Times New Roman" w:hAnsi="Times New Roman" w:cs="Times New Roman"/>
          <w:iCs/>
          <w:color w:val="000000" w:themeColor="text1"/>
          <w:sz w:val="24"/>
          <w:szCs w:val="24"/>
        </w:rPr>
        <w:footnoteReference w:id="2"/>
      </w:r>
      <w:r w:rsidR="00474F9C" w:rsidRPr="00BB5C34">
        <w:rPr>
          <w:rStyle w:val="Hyperlink"/>
          <w:rFonts w:ascii="Times New Roman" w:hAnsi="Times New Roman" w:cs="Times New Roman"/>
          <w:iCs/>
          <w:color w:val="000000" w:themeColor="text1"/>
          <w:sz w:val="24"/>
          <w:szCs w:val="24"/>
        </w:rPr>
        <w:t xml:space="preserve"> </w:t>
      </w:r>
      <w:r w:rsidR="00474F9C" w:rsidRPr="00BB5C34">
        <w:rPr>
          <w:rFonts w:ascii="Times New Roman" w:hAnsi="Times New Roman" w:cs="Times New Roman"/>
          <w:iCs/>
          <w:color w:val="000000" w:themeColor="text1"/>
          <w:sz w:val="24"/>
          <w:szCs w:val="24"/>
        </w:rPr>
        <w:t xml:space="preserve">atrunā kritērija padziļinātu izpildi par mērķa grupas iesaisti un paredz atbalsta pasākumus </w:t>
      </w:r>
      <w:r w:rsidR="00201C1A" w:rsidRPr="00BB5C34">
        <w:rPr>
          <w:rFonts w:ascii="Times New Roman" w:hAnsi="Times New Roman" w:cs="Times New Roman"/>
          <w:iCs/>
          <w:color w:val="000000" w:themeColor="text1"/>
          <w:sz w:val="24"/>
          <w:szCs w:val="24"/>
        </w:rPr>
        <w:t xml:space="preserve">NEET </w:t>
      </w:r>
      <w:r w:rsidR="00474F9C" w:rsidRPr="00BB5C34">
        <w:rPr>
          <w:rFonts w:ascii="Times New Roman" w:hAnsi="Times New Roman" w:cs="Times New Roman"/>
          <w:iCs/>
          <w:color w:val="000000" w:themeColor="text1"/>
          <w:sz w:val="24"/>
          <w:szCs w:val="24"/>
        </w:rPr>
        <w:t>jauniešiem.</w:t>
      </w:r>
      <w:r w:rsidR="00201C1A" w:rsidRPr="00BB5C34">
        <w:rPr>
          <w:rFonts w:ascii="Times New Roman" w:hAnsi="Times New Roman" w:cs="Times New Roman"/>
          <w:iCs/>
          <w:color w:val="000000" w:themeColor="text1"/>
          <w:sz w:val="24"/>
          <w:szCs w:val="24"/>
        </w:rPr>
        <w:t xml:space="preserve"> Nolikuma 3.1. punkts paredz nodrošināt operatīvu un kvalitatīvu palīdzību atbilstoši bezdarbnieku, darba meklētāju un bezdarba riskam pakļauto personu (ieskaitot NEET jauniešus) vajadzībām, spējām un vēlmēm, lai veicinātu šo personu konkurētspēju darba tirgū. Nolikuma 4.4. punkts paredz nepārtraukti pilnveidot individuālo darbu ar bezdarbniekiem (ieskaitot NEET jauniešus), lai nodrošinātu maksimāli ātru šo personu atgriešanos darba tirgū. Nolikuma 4.7.punkts paredz sniegt bezmaksas karjeras konsultācijas bezdarbniekiem (ieskaitot NEET jauniešus), darba meklētājiem, bezdarba riskam pakļautām personām un citām personām, kā arī regulāri pilnveidot informatīvi metodisko bāzi karjeras konsultāciju pakalpojumu sniegšanai.</w:t>
      </w:r>
    </w:p>
    <w:p w14:paraId="033B8A61" w14:textId="77777777" w:rsidR="00B34E5E" w:rsidRPr="00BB5C34" w:rsidRDefault="00474F9C" w:rsidP="00DE449D">
      <w:pPr>
        <w:pStyle w:val="ListParagraph"/>
        <w:numPr>
          <w:ilvl w:val="0"/>
          <w:numId w:val="1"/>
        </w:numPr>
        <w:spacing w:after="0" w:line="240" w:lineRule="auto"/>
        <w:jc w:val="both"/>
        <w:rPr>
          <w:rFonts w:ascii="Times New Roman" w:hAnsi="Times New Roman" w:cs="Times New Roman"/>
          <w:color w:val="000000" w:themeColor="text1"/>
          <w:sz w:val="24"/>
          <w:szCs w:val="24"/>
        </w:rPr>
      </w:pPr>
      <w:r w:rsidRPr="00BB5C34">
        <w:rPr>
          <w:rStyle w:val="Hyperlink"/>
          <w:rFonts w:ascii="Times New Roman" w:hAnsi="Times New Roman" w:cs="Times New Roman"/>
          <w:iCs/>
          <w:color w:val="000000" w:themeColor="text1"/>
          <w:sz w:val="24"/>
          <w:szCs w:val="24"/>
        </w:rPr>
        <w:t>Sociālās aizsardzības un darba tirgus politikas pamatnostādnēs 2021.-2027.gadam</w:t>
      </w:r>
      <w:r w:rsidR="00252FC4" w:rsidRPr="00BB5C34">
        <w:rPr>
          <w:rStyle w:val="FootnoteReference"/>
          <w:rFonts w:ascii="Times New Roman" w:hAnsi="Times New Roman" w:cs="Times New Roman"/>
          <w:iCs/>
          <w:color w:val="000000" w:themeColor="text1"/>
          <w:sz w:val="24"/>
          <w:szCs w:val="24"/>
          <w:u w:val="single"/>
        </w:rPr>
        <w:footnoteReference w:id="3"/>
      </w:r>
      <w:r w:rsidRPr="00BB5C34">
        <w:rPr>
          <w:rFonts w:ascii="Times New Roman" w:hAnsi="Times New Roman" w:cs="Times New Roman"/>
          <w:color w:val="000000" w:themeColor="text1"/>
          <w:sz w:val="24"/>
          <w:szCs w:val="24"/>
        </w:rPr>
        <w:t xml:space="preserve"> NEET jaunieši ir noteikti kā viena no prioritārajām mērķa grupām.</w:t>
      </w:r>
      <w:r w:rsidR="00252FC4" w:rsidRPr="00BB5C34">
        <w:rPr>
          <w:rFonts w:ascii="Times New Roman" w:hAnsi="Times New Roman" w:cs="Times New Roman"/>
          <w:color w:val="000000" w:themeColor="text1"/>
          <w:sz w:val="24"/>
          <w:szCs w:val="24"/>
        </w:rPr>
        <w:t xml:space="preserve"> Pamatnostādņu 2.pielikumā ir minēta esošā situācija attiecībā uz NEET jauniešu situāciju darba tirgū. </w:t>
      </w:r>
      <w:r w:rsidR="00B34E5E" w:rsidRPr="00BB5C34">
        <w:rPr>
          <w:rFonts w:ascii="Times New Roman" w:hAnsi="Times New Roman" w:cs="Times New Roman"/>
          <w:color w:val="000000" w:themeColor="text1"/>
          <w:sz w:val="24"/>
          <w:szCs w:val="24"/>
        </w:rPr>
        <w:t xml:space="preserve">Pamatnostādņu pamattekstā zem rīcības virziena “Iekļaujošs darba tirgus ikvienam un kvalitatīvas darba vietas, atbalstot ilgtermiņa līdzdalību darba tirgū” kā viens no vidējā termiņa mērķiem ir noteikts mērķis “Nodrošināt individualizētu atbalstu bezdarba un ilgstošā bezdarba riskam visvairāk pakļautajām personām, īpaši personām ar invaliditāti, jauniešiem, kas nemācās un nestrādā, personām ar zemām un darba tirgum neatbilstošām prasmēm”. Zem šī mērķa ir iekļauts 1.2. uzdevums, kas paredz pilnveidot individualizēta atbalsta sniegšanu darba </w:t>
      </w:r>
      <w:proofErr w:type="spellStart"/>
      <w:r w:rsidR="00B34E5E" w:rsidRPr="00BB5C34">
        <w:rPr>
          <w:rFonts w:ascii="Times New Roman" w:hAnsi="Times New Roman" w:cs="Times New Roman"/>
          <w:color w:val="000000" w:themeColor="text1"/>
          <w:sz w:val="24"/>
          <w:szCs w:val="24"/>
        </w:rPr>
        <w:t>meklētājem</w:t>
      </w:r>
      <w:proofErr w:type="spellEnd"/>
      <w:r w:rsidR="00B34E5E" w:rsidRPr="00BB5C34">
        <w:rPr>
          <w:rFonts w:ascii="Times New Roman" w:hAnsi="Times New Roman" w:cs="Times New Roman"/>
          <w:color w:val="000000" w:themeColor="text1"/>
          <w:sz w:val="24"/>
          <w:szCs w:val="24"/>
        </w:rPr>
        <w:t xml:space="preserve">, bezdarbniekiem un bezdarba riskam pakļautajām personām, īpaši personām ar </w:t>
      </w:r>
      <w:r w:rsidR="00B34E5E" w:rsidRPr="00BB5C34">
        <w:rPr>
          <w:rFonts w:ascii="Times New Roman" w:hAnsi="Times New Roman" w:cs="Times New Roman"/>
          <w:color w:val="000000" w:themeColor="text1"/>
          <w:sz w:val="24"/>
          <w:szCs w:val="24"/>
        </w:rPr>
        <w:lastRenderedPageBreak/>
        <w:t xml:space="preserve">invaliditāti, </w:t>
      </w:r>
      <w:proofErr w:type="spellStart"/>
      <w:r w:rsidR="00B34E5E" w:rsidRPr="00BB5C34">
        <w:rPr>
          <w:rFonts w:ascii="Times New Roman" w:hAnsi="Times New Roman" w:cs="Times New Roman"/>
          <w:color w:val="000000" w:themeColor="text1"/>
          <w:sz w:val="24"/>
          <w:szCs w:val="24"/>
        </w:rPr>
        <w:t>pirmspensijas</w:t>
      </w:r>
      <w:proofErr w:type="spellEnd"/>
      <w:r w:rsidR="00B34E5E" w:rsidRPr="00BB5C34">
        <w:rPr>
          <w:rFonts w:ascii="Times New Roman" w:hAnsi="Times New Roman" w:cs="Times New Roman"/>
          <w:color w:val="000000" w:themeColor="text1"/>
          <w:sz w:val="24"/>
          <w:szCs w:val="24"/>
        </w:rPr>
        <w:t xml:space="preserve"> vecumā esošām personām, jauniešiem, kas nemācās un nestrādā un personām ar zemām </w:t>
      </w:r>
      <w:proofErr w:type="spellStart"/>
      <w:r w:rsidR="00B34E5E" w:rsidRPr="00BB5C34">
        <w:rPr>
          <w:rFonts w:ascii="Times New Roman" w:hAnsi="Times New Roman" w:cs="Times New Roman"/>
          <w:color w:val="000000" w:themeColor="text1"/>
          <w:sz w:val="24"/>
          <w:szCs w:val="24"/>
        </w:rPr>
        <w:t>pamatprasmēm</w:t>
      </w:r>
      <w:proofErr w:type="spellEnd"/>
      <w:r w:rsidR="00B34E5E" w:rsidRPr="00BB5C34">
        <w:rPr>
          <w:rFonts w:ascii="Times New Roman" w:hAnsi="Times New Roman" w:cs="Times New Roman"/>
          <w:color w:val="000000" w:themeColor="text1"/>
          <w:sz w:val="24"/>
          <w:szCs w:val="24"/>
        </w:rPr>
        <w:t>.</w:t>
      </w:r>
    </w:p>
    <w:p w14:paraId="1E38672F" w14:textId="77777777" w:rsidR="00BD5A9D" w:rsidRPr="00BB5C34" w:rsidRDefault="00D87047" w:rsidP="00DE449D">
      <w:pPr>
        <w:pStyle w:val="ListParagraph"/>
        <w:numPr>
          <w:ilvl w:val="0"/>
          <w:numId w:val="1"/>
        </w:numPr>
        <w:spacing w:after="0" w:line="240" w:lineRule="auto"/>
        <w:jc w:val="both"/>
        <w:rPr>
          <w:rFonts w:ascii="Times New Roman" w:hAnsi="Times New Roman" w:cs="Times New Roman"/>
          <w:color w:val="000000" w:themeColor="text1"/>
          <w:sz w:val="24"/>
          <w:szCs w:val="24"/>
        </w:rPr>
      </w:pPr>
      <w:hyperlink r:id="rId10" w:history="1">
        <w:r w:rsidR="00BD5A9D" w:rsidRPr="00BB5C34">
          <w:rPr>
            <w:rStyle w:val="Hyperlink"/>
            <w:rFonts w:ascii="Times New Roman" w:eastAsia="Times New Roman" w:hAnsi="Times New Roman" w:cs="Times New Roman"/>
            <w:iCs/>
            <w:noProof/>
            <w:color w:val="000000" w:themeColor="text1"/>
            <w:sz w:val="24"/>
            <w:szCs w:val="24"/>
          </w:rPr>
          <w:t>Noslēguma izvērtējumā “Eiropas Sociālā fonda atbalsta un īpašā piešķīruma Jauniešu nodarbinātības iniciatīvas, tostarp garantijas jauniešiem shēmas īstenošanai, investīciju lietderība, efektivitāte un ietekme"</w:t>
        </w:r>
      </w:hyperlink>
      <w:r w:rsidR="00BD5A9D" w:rsidRPr="00BB5C34">
        <w:rPr>
          <w:rStyle w:val="FootnoteReference"/>
          <w:rFonts w:ascii="Times New Roman" w:eastAsia="Times New Roman" w:hAnsi="Times New Roman" w:cs="Times New Roman"/>
          <w:iCs/>
          <w:noProof/>
          <w:color w:val="000000" w:themeColor="text1"/>
          <w:sz w:val="24"/>
          <w:szCs w:val="24"/>
          <w:u w:val="single"/>
        </w:rPr>
        <w:footnoteReference w:id="4"/>
      </w:r>
      <w:r w:rsidR="00BD5A9D" w:rsidRPr="00BB5C34">
        <w:rPr>
          <w:rFonts w:ascii="Times New Roman" w:eastAsia="Times New Roman" w:hAnsi="Times New Roman" w:cs="Times New Roman"/>
          <w:iCs/>
          <w:noProof/>
          <w:color w:val="000000" w:themeColor="text1"/>
          <w:sz w:val="24"/>
          <w:szCs w:val="24"/>
        </w:rPr>
        <w:t xml:space="preserve"> tika novērtēta esošā atbalsta sistēma NEET jauniešiem un izstrādāti priekšlikumi, kas tiks ņemti vērā, izstrādājot Ministru kabineta noteikumus ESF+ projektu īstenošanai. </w:t>
      </w:r>
    </w:p>
    <w:p w14:paraId="74DB358A" w14:textId="77777777" w:rsidR="00474F9C" w:rsidRPr="00BB5C34" w:rsidRDefault="00474F9C" w:rsidP="00DE449D">
      <w:pPr>
        <w:spacing w:after="0" w:line="240" w:lineRule="auto"/>
        <w:jc w:val="both"/>
        <w:rPr>
          <w:rFonts w:ascii="Times New Roman" w:eastAsia="Times New Roman" w:hAnsi="Times New Roman" w:cs="Times New Roman"/>
          <w:iCs/>
          <w:noProof/>
          <w:color w:val="000000" w:themeColor="text1"/>
          <w:sz w:val="24"/>
          <w:szCs w:val="24"/>
        </w:rPr>
      </w:pPr>
      <w:r w:rsidRPr="00BB5C34">
        <w:rPr>
          <w:rFonts w:ascii="Times New Roman" w:eastAsia="Times New Roman" w:hAnsi="Times New Roman" w:cs="Times New Roman"/>
          <w:iCs/>
          <w:noProof/>
          <w:color w:val="000000" w:themeColor="text1"/>
          <w:sz w:val="24"/>
          <w:szCs w:val="24"/>
        </w:rPr>
        <w:t xml:space="preserve">Koordinēts atbalsts </w:t>
      </w:r>
      <w:r w:rsidR="00BD5A9D" w:rsidRPr="00BB5C34">
        <w:rPr>
          <w:rFonts w:ascii="Times New Roman" w:eastAsia="Times New Roman" w:hAnsi="Times New Roman" w:cs="Times New Roman"/>
          <w:iCs/>
          <w:noProof/>
          <w:color w:val="000000" w:themeColor="text1"/>
          <w:sz w:val="24"/>
          <w:szCs w:val="24"/>
        </w:rPr>
        <w:t xml:space="preserve">2023.-2027. gadā </w:t>
      </w:r>
      <w:r w:rsidRPr="00BB5C34">
        <w:rPr>
          <w:rFonts w:ascii="Times New Roman" w:eastAsia="Times New Roman" w:hAnsi="Times New Roman" w:cs="Times New Roman"/>
          <w:iCs/>
          <w:noProof/>
          <w:color w:val="000000" w:themeColor="text1"/>
          <w:sz w:val="24"/>
          <w:szCs w:val="24"/>
        </w:rPr>
        <w:t xml:space="preserve">NEET jauniešiem tiks nodrošināts šādu SAM </w:t>
      </w:r>
      <w:r w:rsidR="00BD5A9D" w:rsidRPr="00BB5C34">
        <w:rPr>
          <w:rFonts w:ascii="Times New Roman" w:eastAsia="Times New Roman" w:hAnsi="Times New Roman" w:cs="Times New Roman"/>
          <w:iCs/>
          <w:noProof/>
          <w:color w:val="000000" w:themeColor="text1"/>
          <w:sz w:val="24"/>
          <w:szCs w:val="24"/>
        </w:rPr>
        <w:t xml:space="preserve">pasākumu </w:t>
      </w:r>
      <w:r w:rsidRPr="00BB5C34">
        <w:rPr>
          <w:rFonts w:ascii="Times New Roman" w:eastAsia="Times New Roman" w:hAnsi="Times New Roman" w:cs="Times New Roman"/>
          <w:iCs/>
          <w:noProof/>
          <w:color w:val="000000" w:themeColor="text1"/>
          <w:sz w:val="24"/>
          <w:szCs w:val="24"/>
        </w:rPr>
        <w:t>ietvaros: 4.2.3.SAM</w:t>
      </w:r>
      <w:r w:rsidR="00BD5A9D" w:rsidRPr="00BB5C34">
        <w:rPr>
          <w:rFonts w:ascii="Times New Roman" w:eastAsia="Times New Roman" w:hAnsi="Times New Roman" w:cs="Times New Roman"/>
          <w:iCs/>
          <w:noProof/>
          <w:color w:val="000000" w:themeColor="text1"/>
          <w:sz w:val="24"/>
          <w:szCs w:val="24"/>
        </w:rPr>
        <w:t xml:space="preserve"> (plānots turpināt īstenot NEET jauniešu sasniegšanas un uzrunāšanas aktivitātes, kuras īstenoja Jaunatnes starptautisko programmu aģentūra 2017.-2023.gadā</w:t>
      </w:r>
      <w:r w:rsidR="00BD5A9D" w:rsidRPr="00BB5C34">
        <w:rPr>
          <w:rStyle w:val="FootnoteReference"/>
          <w:rFonts w:ascii="Times New Roman" w:eastAsia="Times New Roman" w:hAnsi="Times New Roman" w:cs="Times New Roman"/>
          <w:iCs/>
          <w:noProof/>
          <w:color w:val="000000" w:themeColor="text1"/>
          <w:sz w:val="24"/>
          <w:szCs w:val="24"/>
        </w:rPr>
        <w:footnoteReference w:id="5"/>
      </w:r>
      <w:r w:rsidR="00BD5A9D" w:rsidRPr="00BB5C34">
        <w:rPr>
          <w:rFonts w:ascii="Times New Roman" w:eastAsia="Times New Roman" w:hAnsi="Times New Roman" w:cs="Times New Roman"/>
          <w:iCs/>
          <w:noProof/>
          <w:color w:val="000000" w:themeColor="text1"/>
          <w:sz w:val="24"/>
          <w:szCs w:val="24"/>
        </w:rPr>
        <w:t>)</w:t>
      </w:r>
      <w:r w:rsidRPr="00BB5C34">
        <w:rPr>
          <w:rFonts w:ascii="Times New Roman" w:eastAsia="Times New Roman" w:hAnsi="Times New Roman" w:cs="Times New Roman"/>
          <w:iCs/>
          <w:noProof/>
          <w:color w:val="000000" w:themeColor="text1"/>
          <w:sz w:val="24"/>
          <w:szCs w:val="24"/>
        </w:rPr>
        <w:t>, 4.3.3.SAM</w:t>
      </w:r>
      <w:r w:rsidR="00BD5A9D" w:rsidRPr="00BB5C34">
        <w:rPr>
          <w:rFonts w:ascii="Times New Roman" w:eastAsia="Times New Roman" w:hAnsi="Times New Roman" w:cs="Times New Roman"/>
          <w:iCs/>
          <w:noProof/>
          <w:color w:val="000000" w:themeColor="text1"/>
          <w:sz w:val="24"/>
          <w:szCs w:val="24"/>
        </w:rPr>
        <w:t xml:space="preserve"> (komplekss atbalsts NEET jauniešiem – reģistrētajiem bezdarbniekiem Nodarbinātības valsts aģentūrā)</w:t>
      </w:r>
      <w:r w:rsidRPr="00BB5C34">
        <w:rPr>
          <w:rFonts w:ascii="Times New Roman" w:eastAsia="Times New Roman" w:hAnsi="Times New Roman" w:cs="Times New Roman"/>
          <w:iCs/>
          <w:noProof/>
          <w:color w:val="000000" w:themeColor="text1"/>
          <w:sz w:val="24"/>
          <w:szCs w:val="24"/>
        </w:rPr>
        <w:t xml:space="preserve"> un 4.3.4.SAM</w:t>
      </w:r>
      <w:r w:rsidR="00BD5A9D" w:rsidRPr="00BB5C34">
        <w:rPr>
          <w:rFonts w:ascii="Times New Roman" w:eastAsia="Times New Roman" w:hAnsi="Times New Roman" w:cs="Times New Roman"/>
          <w:iCs/>
          <w:noProof/>
          <w:color w:val="000000" w:themeColor="text1"/>
          <w:sz w:val="24"/>
          <w:szCs w:val="24"/>
        </w:rPr>
        <w:t xml:space="preserve"> (</w:t>
      </w:r>
      <w:r w:rsidR="009E2795" w:rsidRPr="00BB5C34">
        <w:rPr>
          <w:rFonts w:ascii="Times New Roman" w:eastAsia="Times New Roman" w:hAnsi="Times New Roman" w:cs="Times New Roman"/>
          <w:iCs/>
          <w:noProof/>
          <w:color w:val="000000" w:themeColor="text1"/>
          <w:sz w:val="24"/>
          <w:szCs w:val="24"/>
        </w:rPr>
        <w:t xml:space="preserve">atsevišķu </w:t>
      </w:r>
      <w:r w:rsidR="00BD5A9D" w:rsidRPr="00BB5C34">
        <w:rPr>
          <w:rFonts w:ascii="Times New Roman" w:eastAsia="Times New Roman" w:hAnsi="Times New Roman" w:cs="Times New Roman"/>
          <w:iCs/>
          <w:noProof/>
          <w:color w:val="000000" w:themeColor="text1"/>
          <w:sz w:val="24"/>
          <w:szCs w:val="24"/>
        </w:rPr>
        <w:t xml:space="preserve">NEET jauniešu </w:t>
      </w:r>
      <w:r w:rsidR="009E2795" w:rsidRPr="00BB5C34">
        <w:rPr>
          <w:rFonts w:ascii="Times New Roman" w:eastAsia="Times New Roman" w:hAnsi="Times New Roman" w:cs="Times New Roman"/>
          <w:iCs/>
          <w:noProof/>
          <w:color w:val="000000" w:themeColor="text1"/>
          <w:sz w:val="24"/>
          <w:szCs w:val="24"/>
        </w:rPr>
        <w:t xml:space="preserve">grupu (personas ar invaliditāti un funkcionālajiem traucējumiem u.c.) </w:t>
      </w:r>
      <w:r w:rsidR="00BD5A9D" w:rsidRPr="00BB5C34">
        <w:rPr>
          <w:rFonts w:ascii="Times New Roman" w:eastAsia="Times New Roman" w:hAnsi="Times New Roman" w:cs="Times New Roman"/>
          <w:iCs/>
          <w:noProof/>
          <w:color w:val="000000" w:themeColor="text1"/>
          <w:sz w:val="24"/>
          <w:szCs w:val="24"/>
        </w:rPr>
        <w:t>aktīvas līdzdalības</w:t>
      </w:r>
      <w:r w:rsidR="009E2795" w:rsidRPr="00BB5C34">
        <w:rPr>
          <w:rFonts w:ascii="Times New Roman" w:eastAsia="Times New Roman" w:hAnsi="Times New Roman" w:cs="Times New Roman"/>
          <w:iCs/>
          <w:noProof/>
          <w:color w:val="000000" w:themeColor="text1"/>
          <w:sz w:val="24"/>
          <w:szCs w:val="24"/>
        </w:rPr>
        <w:t xml:space="preserve"> sekmēšana</w:t>
      </w:r>
      <w:r w:rsidR="00BD5A9D" w:rsidRPr="00BB5C34">
        <w:rPr>
          <w:rFonts w:ascii="Times New Roman" w:eastAsia="Times New Roman" w:hAnsi="Times New Roman" w:cs="Times New Roman"/>
          <w:iCs/>
          <w:noProof/>
          <w:color w:val="000000" w:themeColor="text1"/>
          <w:sz w:val="24"/>
          <w:szCs w:val="24"/>
        </w:rPr>
        <w:t>, lai veicinātu vienlīdzīgas iespējas, nediskriminēšanu un aktīvu līdzdalību, kā arī uzlabotu nodarbinātību, jo īpaši attiecībā uz nelabvēlīgā situācijā esošām grupām</w:t>
      </w:r>
      <w:r w:rsidR="009E2795" w:rsidRPr="00BB5C34">
        <w:rPr>
          <w:rFonts w:ascii="Times New Roman" w:eastAsia="Times New Roman" w:hAnsi="Times New Roman" w:cs="Times New Roman"/>
          <w:iCs/>
          <w:noProof/>
          <w:color w:val="000000" w:themeColor="text1"/>
          <w:sz w:val="24"/>
          <w:szCs w:val="24"/>
        </w:rPr>
        <w:t>)</w:t>
      </w:r>
      <w:r w:rsidRPr="00BB5C34">
        <w:rPr>
          <w:rFonts w:ascii="Times New Roman" w:eastAsia="Times New Roman" w:hAnsi="Times New Roman" w:cs="Times New Roman"/>
          <w:iCs/>
          <w:noProof/>
          <w:color w:val="000000" w:themeColor="text1"/>
          <w:sz w:val="24"/>
          <w:szCs w:val="24"/>
        </w:rPr>
        <w:t>.</w:t>
      </w:r>
    </w:p>
    <w:p w14:paraId="18A1DA35"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p>
    <w:p w14:paraId="143CEC76"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r w:rsidRPr="00BB5C34">
        <w:rPr>
          <w:rFonts w:ascii="Times New Roman" w:eastAsia="Times New Roman" w:hAnsi="Times New Roman" w:cs="Times New Roman"/>
          <w:iCs/>
          <w:noProof/>
          <w:color w:val="000000" w:themeColor="text1"/>
          <w:sz w:val="24"/>
          <w:szCs w:val="24"/>
        </w:rPr>
        <w:t xml:space="preserve">Jaunajā ES fondu plānošanas periodā, ņemot vērā mērķa grupas lielumu, nodarbinātības un sociālajā jomā nav plānots īstenot atsevišķu Jauniešu garantijas projektu, kas būtu vērsts uz NEET mērķa grupas atbalstu, kā tas bija 2014.-2020.gadā. Tomēr Labklājības ministrija sadarbībā ar citām institūcijām turpinās koordinēt un apkopot informāciju par dažādiem atbalsta pasākumiem, kas ir vērsti uz NEET grupas jauniešu integēšanu darba tirgū un izglītībā. Tāpat 2024.-2027.gadā ir plānots izmantot iespējas, ko sniedz ALMA iniciatīva NEET jauniešu atbalstam ceļā uz nodarbinātību. </w:t>
      </w:r>
    </w:p>
    <w:p w14:paraId="0048301B"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p>
    <w:p w14:paraId="6C6A28FD"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r w:rsidRPr="00BB5C34">
        <w:rPr>
          <w:rFonts w:ascii="Times New Roman" w:eastAsia="Times New Roman" w:hAnsi="Times New Roman" w:cs="Times New Roman"/>
          <w:iCs/>
          <w:noProof/>
          <w:color w:val="000000" w:themeColor="text1"/>
          <w:sz w:val="24"/>
          <w:szCs w:val="24"/>
        </w:rPr>
        <w:t>2023.-2027.gadā No</w:t>
      </w:r>
      <w:bookmarkStart w:id="0" w:name="_GoBack"/>
      <w:bookmarkEnd w:id="0"/>
      <w:r w:rsidRPr="00BB5C34">
        <w:rPr>
          <w:rFonts w:ascii="Times New Roman" w:eastAsia="Times New Roman" w:hAnsi="Times New Roman" w:cs="Times New Roman"/>
          <w:iCs/>
          <w:noProof/>
          <w:color w:val="000000" w:themeColor="text1"/>
          <w:sz w:val="24"/>
          <w:szCs w:val="24"/>
        </w:rPr>
        <w:t>darbinātības valsts aģentūrā NEET grupas jauniešiem, tāpat kā iepriekšējā periodā, varētu būt pieejami šādi pasākumi:</w:t>
      </w:r>
    </w:p>
    <w:p w14:paraId="3FB3600E"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r w:rsidRPr="00BB5C34">
        <w:rPr>
          <w:rFonts w:ascii="Times New Roman" w:eastAsia="Times New Roman" w:hAnsi="Times New Roman" w:cs="Times New Roman"/>
          <w:iCs/>
          <w:noProof/>
          <w:color w:val="000000" w:themeColor="text1"/>
          <w:sz w:val="24"/>
          <w:szCs w:val="24"/>
        </w:rPr>
        <w:t>-</w:t>
      </w:r>
      <w:r w:rsidRPr="00BB5C34">
        <w:rPr>
          <w:rFonts w:ascii="Times New Roman" w:eastAsia="Times New Roman" w:hAnsi="Times New Roman" w:cs="Times New Roman"/>
          <w:iCs/>
          <w:noProof/>
          <w:color w:val="000000" w:themeColor="text1"/>
          <w:sz w:val="24"/>
          <w:szCs w:val="24"/>
        </w:rPr>
        <w:tab/>
        <w:t>Karjeras atbalsts un prasmju pilnveides pasākumi, atkarībā no jaunieša spējām un prasmēm;</w:t>
      </w:r>
    </w:p>
    <w:p w14:paraId="5F78E1C2"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r w:rsidRPr="00BB5C34">
        <w:rPr>
          <w:rFonts w:ascii="Times New Roman" w:eastAsia="Times New Roman" w:hAnsi="Times New Roman" w:cs="Times New Roman"/>
          <w:iCs/>
          <w:noProof/>
          <w:color w:val="000000" w:themeColor="text1"/>
          <w:sz w:val="24"/>
          <w:szCs w:val="24"/>
        </w:rPr>
        <w:t>- Profesionālā tālākizglītība un pilnveide, neformālā izglītība, konkurētspējas paaugstināšanas pasākumi, apmācība darba vietā un apmācības tiešsaistes kursu platformās);</w:t>
      </w:r>
    </w:p>
    <w:p w14:paraId="3B79C62A"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r w:rsidRPr="00BB5C34">
        <w:rPr>
          <w:rFonts w:ascii="Times New Roman" w:eastAsia="Times New Roman" w:hAnsi="Times New Roman" w:cs="Times New Roman"/>
          <w:iCs/>
          <w:noProof/>
          <w:color w:val="000000" w:themeColor="text1"/>
          <w:sz w:val="24"/>
          <w:szCs w:val="24"/>
        </w:rPr>
        <w:t>-</w:t>
      </w:r>
      <w:r w:rsidRPr="00BB5C34">
        <w:rPr>
          <w:rFonts w:ascii="Times New Roman" w:eastAsia="Times New Roman" w:hAnsi="Times New Roman" w:cs="Times New Roman"/>
          <w:iCs/>
          <w:noProof/>
          <w:color w:val="000000" w:themeColor="text1"/>
          <w:sz w:val="24"/>
          <w:szCs w:val="24"/>
        </w:rPr>
        <w:tab/>
        <w:t>Subsidētā nodarbinātība jauniešiem bezdarbniekiem ar invaliditāti un ilgstošajiem bezdarbniekiem;</w:t>
      </w:r>
    </w:p>
    <w:p w14:paraId="49B4084F"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r w:rsidRPr="00BB5C34">
        <w:rPr>
          <w:rFonts w:ascii="Times New Roman" w:eastAsia="Times New Roman" w:hAnsi="Times New Roman" w:cs="Times New Roman"/>
          <w:iCs/>
          <w:noProof/>
          <w:color w:val="000000" w:themeColor="text1"/>
          <w:sz w:val="24"/>
          <w:szCs w:val="24"/>
        </w:rPr>
        <w:t>-</w:t>
      </w:r>
      <w:r w:rsidRPr="00BB5C34">
        <w:rPr>
          <w:rFonts w:ascii="Times New Roman" w:eastAsia="Times New Roman" w:hAnsi="Times New Roman" w:cs="Times New Roman"/>
          <w:iCs/>
          <w:noProof/>
          <w:color w:val="000000" w:themeColor="text1"/>
          <w:sz w:val="24"/>
          <w:szCs w:val="24"/>
        </w:rPr>
        <w:tab/>
        <w:t>Speciālistu atbalsts bezdarbniekiem ar invaliditāti (psiholoģiskais atbalsts,  motivācijas programmas, mentori u.c.);</w:t>
      </w:r>
    </w:p>
    <w:p w14:paraId="1AAF8A61"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r w:rsidRPr="00BB5C34">
        <w:rPr>
          <w:rFonts w:ascii="Times New Roman" w:eastAsia="Times New Roman" w:hAnsi="Times New Roman" w:cs="Times New Roman"/>
          <w:iCs/>
          <w:noProof/>
          <w:color w:val="000000" w:themeColor="text1"/>
          <w:sz w:val="24"/>
          <w:szCs w:val="24"/>
        </w:rPr>
        <w:t xml:space="preserve">- Kompleksie atbalsta pasākumi ilgstošā bezdarba situācijas risināšanai; </w:t>
      </w:r>
    </w:p>
    <w:p w14:paraId="5B5C703F"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r w:rsidRPr="00BB5C34">
        <w:rPr>
          <w:rFonts w:ascii="Times New Roman" w:eastAsia="Times New Roman" w:hAnsi="Times New Roman" w:cs="Times New Roman"/>
          <w:iCs/>
          <w:noProof/>
          <w:color w:val="000000" w:themeColor="text1"/>
          <w:sz w:val="24"/>
          <w:szCs w:val="24"/>
        </w:rPr>
        <w:t>-</w:t>
      </w:r>
      <w:r w:rsidRPr="00BB5C34">
        <w:rPr>
          <w:rFonts w:ascii="Times New Roman" w:eastAsia="Times New Roman" w:hAnsi="Times New Roman" w:cs="Times New Roman"/>
          <w:iCs/>
          <w:noProof/>
          <w:color w:val="000000" w:themeColor="text1"/>
          <w:sz w:val="24"/>
          <w:szCs w:val="24"/>
        </w:rPr>
        <w:tab/>
        <w:t>Atbalsts reģionālai mobilitātei, uzsākot darba attiecības vai dalībai NVA mācību un nodarbinātības pasākumos;</w:t>
      </w:r>
    </w:p>
    <w:p w14:paraId="044B05E5"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r w:rsidRPr="00BB5C34">
        <w:rPr>
          <w:rFonts w:ascii="Times New Roman" w:eastAsia="Times New Roman" w:hAnsi="Times New Roman" w:cs="Times New Roman"/>
          <w:iCs/>
          <w:noProof/>
          <w:color w:val="000000" w:themeColor="text1"/>
          <w:sz w:val="24"/>
          <w:szCs w:val="24"/>
        </w:rPr>
        <w:t>-</w:t>
      </w:r>
      <w:r w:rsidRPr="00BB5C34">
        <w:rPr>
          <w:rFonts w:ascii="Times New Roman" w:eastAsia="Times New Roman" w:hAnsi="Times New Roman" w:cs="Times New Roman"/>
          <w:iCs/>
          <w:noProof/>
          <w:color w:val="000000" w:themeColor="text1"/>
          <w:sz w:val="24"/>
          <w:szCs w:val="24"/>
        </w:rPr>
        <w:tab/>
        <w:t>Darbam nepieciešamo iemaņu attīstība nevalstiskajā sektorā;</w:t>
      </w:r>
    </w:p>
    <w:p w14:paraId="4D2DCFF9"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r w:rsidRPr="00BB5C34">
        <w:rPr>
          <w:rFonts w:ascii="Times New Roman" w:eastAsia="Times New Roman" w:hAnsi="Times New Roman" w:cs="Times New Roman"/>
          <w:iCs/>
          <w:noProof/>
          <w:color w:val="000000" w:themeColor="text1"/>
          <w:sz w:val="24"/>
          <w:szCs w:val="24"/>
        </w:rPr>
        <w:t>-</w:t>
      </w:r>
      <w:r w:rsidRPr="00BB5C34">
        <w:rPr>
          <w:rFonts w:ascii="Times New Roman" w:eastAsia="Times New Roman" w:hAnsi="Times New Roman" w:cs="Times New Roman"/>
          <w:iCs/>
          <w:noProof/>
          <w:color w:val="000000" w:themeColor="text1"/>
          <w:sz w:val="24"/>
          <w:szCs w:val="24"/>
        </w:rPr>
        <w:tab/>
        <w:t>Atbalsts komercdarbības un pašnodarbinātības uzsākšanai.</w:t>
      </w:r>
    </w:p>
    <w:p w14:paraId="71905C9E" w14:textId="77777777" w:rsidR="009E2795" w:rsidRPr="00BB5C34" w:rsidRDefault="009E2795" w:rsidP="00DE449D">
      <w:pPr>
        <w:spacing w:after="0" w:line="240" w:lineRule="auto"/>
        <w:jc w:val="both"/>
        <w:rPr>
          <w:rFonts w:ascii="Times New Roman" w:eastAsia="Times New Roman" w:hAnsi="Times New Roman" w:cs="Times New Roman"/>
          <w:iCs/>
          <w:noProof/>
          <w:color w:val="000000" w:themeColor="text1"/>
          <w:sz w:val="24"/>
          <w:szCs w:val="24"/>
        </w:rPr>
      </w:pPr>
    </w:p>
    <w:p w14:paraId="4A3E1F72" w14:textId="77777777" w:rsidR="00BD5A9D" w:rsidRPr="00BB5C34" w:rsidRDefault="009E2795" w:rsidP="00DE449D">
      <w:pPr>
        <w:spacing w:after="0" w:line="240" w:lineRule="auto"/>
        <w:jc w:val="both"/>
        <w:rPr>
          <w:rFonts w:ascii="Times New Roman" w:hAnsi="Times New Roman" w:cs="Times New Roman"/>
          <w:sz w:val="24"/>
          <w:szCs w:val="24"/>
        </w:rPr>
      </w:pPr>
      <w:r w:rsidRPr="00BB5C34">
        <w:rPr>
          <w:rFonts w:ascii="Times New Roman" w:hAnsi="Times New Roman" w:cs="Times New Roman"/>
          <w:color w:val="000000" w:themeColor="text1"/>
          <w:sz w:val="24"/>
          <w:szCs w:val="24"/>
        </w:rPr>
        <w:t xml:space="preserve">Izglītības un zinātnes ministrija plāno turpināt sniegt atbalstu NEET jauniešiem, kas nav reģistrēti Nodarbinātības valsts aģentūrā vai ilgstoši atrodas bezdarba situācijā, balstoties uz </w:t>
      </w:r>
      <w:r w:rsidRPr="00BB5C34">
        <w:rPr>
          <w:rFonts w:ascii="Times New Roman" w:hAnsi="Times New Roman" w:cs="Times New Roman"/>
          <w:sz w:val="24"/>
          <w:szCs w:val="24"/>
        </w:rPr>
        <w:t xml:space="preserve">Jaunatnes starptautisko programmu aģentūras pieredzi 8.3.3. SAM projekta "Attīstīt NEET jauniešu prasmes un veicināt to iesaisti izglītībā, NVA īstenotajos pasākumos Jauniešu garantijas ietvaros un nevalstisko organizāciju vai jauniešu centru darbībā" īstenošanā 2017.- 2023.gadā. </w:t>
      </w:r>
    </w:p>
    <w:p w14:paraId="4C49309B" w14:textId="77777777" w:rsidR="009E2795" w:rsidRPr="00BB5C34" w:rsidRDefault="009E2795" w:rsidP="00DE449D">
      <w:pPr>
        <w:spacing w:after="0" w:line="240" w:lineRule="auto"/>
        <w:jc w:val="both"/>
        <w:rPr>
          <w:rFonts w:ascii="Times New Roman" w:hAnsi="Times New Roman" w:cs="Times New Roman"/>
          <w:color w:val="000000" w:themeColor="text1"/>
          <w:sz w:val="24"/>
          <w:szCs w:val="24"/>
        </w:rPr>
      </w:pPr>
    </w:p>
    <w:sectPr w:rsidR="009E2795" w:rsidRPr="00BB5C34" w:rsidSect="003D39D3">
      <w:footerReference w:type="default" r:id="rId11"/>
      <w:pgSz w:w="11906" w:h="16838"/>
      <w:pgMar w:top="720" w:right="720" w:bottom="720" w:left="720" w:header="62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6B773D" w14:textId="77777777" w:rsidR="00474F9C" w:rsidRDefault="00474F9C" w:rsidP="00474F9C">
      <w:pPr>
        <w:spacing w:after="0" w:line="240" w:lineRule="auto"/>
      </w:pPr>
      <w:r>
        <w:separator/>
      </w:r>
    </w:p>
  </w:endnote>
  <w:endnote w:type="continuationSeparator" w:id="0">
    <w:p w14:paraId="489A7F6E" w14:textId="77777777" w:rsidR="00474F9C" w:rsidRDefault="00474F9C" w:rsidP="00474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8103812"/>
      <w:docPartObj>
        <w:docPartGallery w:val="Page Numbers (Bottom of Page)"/>
        <w:docPartUnique/>
      </w:docPartObj>
    </w:sdtPr>
    <w:sdtEndPr>
      <w:rPr>
        <w:rFonts w:ascii="Times New Roman" w:hAnsi="Times New Roman" w:cs="Times New Roman"/>
        <w:noProof/>
      </w:rPr>
    </w:sdtEndPr>
    <w:sdtContent>
      <w:p w14:paraId="308A2672" w14:textId="75E75DC0" w:rsidR="003D39D3" w:rsidRPr="001B3243" w:rsidRDefault="003D39D3">
        <w:pPr>
          <w:pStyle w:val="Footer"/>
          <w:jc w:val="center"/>
          <w:rPr>
            <w:rFonts w:ascii="Times New Roman" w:hAnsi="Times New Roman" w:cs="Times New Roman"/>
          </w:rPr>
        </w:pPr>
        <w:r w:rsidRPr="001B3243">
          <w:rPr>
            <w:rFonts w:ascii="Times New Roman" w:hAnsi="Times New Roman" w:cs="Times New Roman"/>
          </w:rPr>
          <w:fldChar w:fldCharType="begin"/>
        </w:r>
        <w:r w:rsidRPr="001B3243">
          <w:rPr>
            <w:rFonts w:ascii="Times New Roman" w:hAnsi="Times New Roman" w:cs="Times New Roman"/>
          </w:rPr>
          <w:instrText xml:space="preserve"> PAGE   \* MERGEFORMAT </w:instrText>
        </w:r>
        <w:r w:rsidRPr="001B3243">
          <w:rPr>
            <w:rFonts w:ascii="Times New Roman" w:hAnsi="Times New Roman" w:cs="Times New Roman"/>
          </w:rPr>
          <w:fldChar w:fldCharType="separate"/>
        </w:r>
        <w:r w:rsidR="00D87047">
          <w:rPr>
            <w:rFonts w:ascii="Times New Roman" w:hAnsi="Times New Roman" w:cs="Times New Roman"/>
            <w:noProof/>
          </w:rPr>
          <w:t>2</w:t>
        </w:r>
        <w:r w:rsidRPr="001B3243">
          <w:rPr>
            <w:rFonts w:ascii="Times New Roman" w:hAnsi="Times New Roman" w:cs="Times New Roman"/>
            <w:noProof/>
          </w:rPr>
          <w:fldChar w:fldCharType="end"/>
        </w:r>
      </w:p>
    </w:sdtContent>
  </w:sdt>
  <w:p w14:paraId="060F41A5" w14:textId="14594A4A" w:rsidR="00DE449D" w:rsidRPr="003D39D3" w:rsidRDefault="003D39D3">
    <w:pPr>
      <w:pStyle w:val="Footer"/>
      <w:rPr>
        <w:rFonts w:ascii="Times New Roman" w:hAnsi="Times New Roman" w:cs="Times New Roman"/>
        <w:color w:val="808080" w:themeColor="background1" w:themeShade="80"/>
        <w:sz w:val="20"/>
        <w:szCs w:val="20"/>
      </w:rPr>
    </w:pPr>
    <w:r w:rsidRPr="003D39D3">
      <w:rPr>
        <w:rFonts w:ascii="Times New Roman" w:hAnsi="Times New Roman" w:cs="Times New Roman"/>
        <w:color w:val="808080" w:themeColor="background1" w:themeShade="80"/>
        <w:sz w:val="20"/>
        <w:szCs w:val="20"/>
      </w:rPr>
      <w:t>FMProgPiel2_</w:t>
    </w:r>
    <w:r w:rsidR="00D87047">
      <w:rPr>
        <w:rFonts w:ascii="Times New Roman" w:hAnsi="Times New Roman" w:cs="Times New Roman"/>
        <w:color w:val="808080" w:themeColor="background1" w:themeShade="80"/>
        <w:sz w:val="20"/>
        <w:szCs w:val="20"/>
      </w:rPr>
      <w:t>27</w:t>
    </w:r>
    <w:r w:rsidR="00317386">
      <w:rPr>
        <w:rFonts w:ascii="Times New Roman" w:hAnsi="Times New Roman" w:cs="Times New Roman"/>
        <w:color w:val="808080" w:themeColor="background1" w:themeShade="80"/>
        <w:sz w:val="20"/>
        <w:szCs w:val="20"/>
      </w:rPr>
      <w:t>10</w:t>
    </w:r>
    <w:r w:rsidRPr="003D39D3">
      <w:rPr>
        <w:rFonts w:ascii="Times New Roman" w:hAnsi="Times New Roman" w:cs="Times New Roman"/>
        <w:color w:val="808080" w:themeColor="background1" w:themeShade="80"/>
        <w:sz w:val="20"/>
        <w:szCs w:val="20"/>
      </w:rPr>
      <w:t>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A7C22" w14:textId="77777777" w:rsidR="00474F9C" w:rsidRDefault="00474F9C" w:rsidP="00474F9C">
      <w:pPr>
        <w:spacing w:after="0" w:line="240" w:lineRule="auto"/>
      </w:pPr>
      <w:r>
        <w:separator/>
      </w:r>
    </w:p>
  </w:footnote>
  <w:footnote w:type="continuationSeparator" w:id="0">
    <w:p w14:paraId="31E21A69" w14:textId="77777777" w:rsidR="00474F9C" w:rsidRDefault="00474F9C" w:rsidP="00474F9C">
      <w:pPr>
        <w:spacing w:after="0" w:line="240" w:lineRule="auto"/>
      </w:pPr>
      <w:r>
        <w:continuationSeparator/>
      </w:r>
    </w:p>
  </w:footnote>
  <w:footnote w:id="1">
    <w:p w14:paraId="6D17C824" w14:textId="20198A75" w:rsidR="00474F9C" w:rsidRPr="00BA04F8" w:rsidRDefault="00474F9C" w:rsidP="00DE449D">
      <w:pPr>
        <w:pStyle w:val="FootnoteText"/>
        <w:ind w:left="0" w:firstLine="0"/>
      </w:pPr>
      <w:r w:rsidRPr="0082057A">
        <w:rPr>
          <w:rStyle w:val="FootnoteReference"/>
          <w:sz w:val="18"/>
          <w:szCs w:val="18"/>
        </w:rPr>
        <w:footnoteRef/>
      </w:r>
      <w:hyperlink r:id="rId1" w:history="1">
        <w:r w:rsidRPr="00BA04F8">
          <w:rPr>
            <w:rStyle w:val="Hyperlink"/>
          </w:rPr>
          <w:t>https://likumi.lv/ta/id/225425-noteikumi-par-aktivo-nodarbinatibas-pasakumu-un-preventivo-bezdarba-samazinasanas-pasakumu-organizesanas-un-finansesanas</w:t>
        </w:r>
      </w:hyperlink>
      <w:r w:rsidRPr="00BA04F8">
        <w:t xml:space="preserve"> </w:t>
      </w:r>
    </w:p>
  </w:footnote>
  <w:footnote w:id="2">
    <w:p w14:paraId="4465FD2C" w14:textId="77777777" w:rsidR="00474F9C" w:rsidRPr="00BA04F8" w:rsidRDefault="00474F9C" w:rsidP="00DE449D">
      <w:pPr>
        <w:pStyle w:val="FootnoteText"/>
        <w:ind w:left="0" w:firstLine="0"/>
      </w:pPr>
      <w:r w:rsidRPr="00BA04F8">
        <w:rPr>
          <w:rStyle w:val="FootnoteReference"/>
        </w:rPr>
        <w:footnoteRef/>
      </w:r>
      <w:r w:rsidRPr="00BA04F8">
        <w:t xml:space="preserve"> https://likumi.lv/ta/id/253579-nodarbinatibas-valsts-agenturas-nolikums</w:t>
      </w:r>
    </w:p>
  </w:footnote>
  <w:footnote w:id="3">
    <w:p w14:paraId="17AE50A3" w14:textId="77777777" w:rsidR="00252FC4" w:rsidRPr="00BA04F8" w:rsidRDefault="00252FC4" w:rsidP="00DE449D">
      <w:pPr>
        <w:pStyle w:val="FootnoteText"/>
        <w:ind w:left="0" w:firstLine="0"/>
      </w:pPr>
      <w:r w:rsidRPr="00BA04F8">
        <w:rPr>
          <w:rStyle w:val="FootnoteReference"/>
        </w:rPr>
        <w:footnoteRef/>
      </w:r>
      <w:r w:rsidRPr="00BA04F8">
        <w:t xml:space="preserve"> https://likumi.lv/ta/id/325828-par-socialas-aizsardzibas-un-darba-tirgus-politikas-pamatnostadnem-2021-2027-gadam </w:t>
      </w:r>
    </w:p>
    <w:p w14:paraId="155833EA" w14:textId="77777777" w:rsidR="00252FC4" w:rsidRPr="00BA04F8" w:rsidRDefault="00252FC4" w:rsidP="00DE449D">
      <w:pPr>
        <w:pStyle w:val="FootnoteText"/>
        <w:ind w:left="0" w:firstLine="0"/>
      </w:pPr>
      <w:r w:rsidRPr="00BA04F8">
        <w:t>https://www.lm.gov.lv/lv/pamatnostadnu-projekts-socialas-aizsardzibas-un-darba-tirgus-politikas-pamatnostadnes-2021-2027-gadam</w:t>
      </w:r>
    </w:p>
  </w:footnote>
  <w:footnote w:id="4">
    <w:p w14:paraId="73CC6269" w14:textId="77777777" w:rsidR="00BD5A9D" w:rsidRPr="00BD5A9D" w:rsidRDefault="00BD5A9D" w:rsidP="00DA31D2">
      <w:pPr>
        <w:pStyle w:val="FootnoteText"/>
        <w:ind w:left="142" w:hanging="142"/>
      </w:pPr>
      <w:r>
        <w:rPr>
          <w:rStyle w:val="FootnoteReference"/>
        </w:rPr>
        <w:footnoteRef/>
      </w:r>
      <w:r>
        <w:t xml:space="preserve"> </w:t>
      </w:r>
      <w:r w:rsidRPr="00BD5A9D">
        <w:t>http://petijumi.mk.gov.lv/node/3051</w:t>
      </w:r>
    </w:p>
  </w:footnote>
  <w:footnote w:id="5">
    <w:p w14:paraId="02E83E26" w14:textId="7C194F14" w:rsidR="00BD5A9D" w:rsidRPr="00BD5A9D" w:rsidRDefault="00BD5A9D" w:rsidP="00DA31D2">
      <w:pPr>
        <w:pStyle w:val="FootnoteText"/>
        <w:ind w:left="142" w:hanging="142"/>
      </w:pPr>
      <w:r>
        <w:rPr>
          <w:rStyle w:val="FootnoteReference"/>
        </w:rPr>
        <w:footnoteRef/>
      </w:r>
      <w:r w:rsidRPr="00BD5A9D">
        <w:t>https://likumi.lv/ta/id/275554-darbibas-programmas-izaugsme-un-nodarbinatiba-8-3-3-specifiska-atbalsta-merka-attistit-nva-neregistreto-neet-jauniesu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3338A"/>
    <w:multiLevelType w:val="hybridMultilevel"/>
    <w:tmpl w:val="35CC323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F9C"/>
    <w:rsid w:val="001B3243"/>
    <w:rsid w:val="00201C1A"/>
    <w:rsid w:val="00252FC4"/>
    <w:rsid w:val="002B3AAA"/>
    <w:rsid w:val="00317386"/>
    <w:rsid w:val="003D39D3"/>
    <w:rsid w:val="003E7059"/>
    <w:rsid w:val="00474F9C"/>
    <w:rsid w:val="00480F5C"/>
    <w:rsid w:val="004B0EC9"/>
    <w:rsid w:val="004B1D91"/>
    <w:rsid w:val="00506CCC"/>
    <w:rsid w:val="00597F54"/>
    <w:rsid w:val="00661E19"/>
    <w:rsid w:val="009E2795"/>
    <w:rsid w:val="00A54A67"/>
    <w:rsid w:val="00B34E5E"/>
    <w:rsid w:val="00BA04F8"/>
    <w:rsid w:val="00BB5C34"/>
    <w:rsid w:val="00BD5A9D"/>
    <w:rsid w:val="00CC61C9"/>
    <w:rsid w:val="00D87047"/>
    <w:rsid w:val="00DA31D2"/>
    <w:rsid w:val="00DE449D"/>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E58DA"/>
  <w15:chartTrackingRefBased/>
  <w15:docId w15:val="{27EB8789-1082-4890-B5BF-1801E012D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Char10"/>
    <w:basedOn w:val="Normal"/>
    <w:link w:val="FootnoteTextChar"/>
    <w:uiPriority w:val="99"/>
    <w:unhideWhenUsed/>
    <w:qFormat/>
    <w:rsid w:val="00474F9C"/>
    <w:pPr>
      <w:spacing w:after="0" w:line="240" w:lineRule="auto"/>
      <w:ind w:left="720" w:hanging="720"/>
      <w:jc w:val="both"/>
    </w:pPr>
    <w:rPr>
      <w:rFonts w:ascii="Times New Roman" w:eastAsia="Calibri" w:hAnsi="Times New Roman" w:cs="Times New Roman"/>
      <w:sz w:val="20"/>
      <w:szCs w:val="20"/>
      <w:lang w:eastAsia="lv-LV" w:bidi="lv-LV"/>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sid w:val="00474F9C"/>
    <w:rPr>
      <w:rFonts w:ascii="Times New Roman" w:eastAsia="Calibri" w:hAnsi="Times New Roman" w:cs="Times New Roman"/>
      <w:sz w:val="20"/>
      <w:szCs w:val="20"/>
      <w:lang w:eastAsia="lv-LV" w:bidi="lv-LV"/>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link w:val="FootnotesymbolCarZchn"/>
    <w:uiPriority w:val="99"/>
    <w:unhideWhenUsed/>
    <w:qFormat/>
    <w:rsid w:val="00474F9C"/>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474F9C"/>
    <w:pPr>
      <w:spacing w:line="240" w:lineRule="exact"/>
      <w:jc w:val="both"/>
    </w:pPr>
    <w:rPr>
      <w:vertAlign w:val="superscript"/>
    </w:rPr>
  </w:style>
  <w:style w:type="character" w:styleId="Hyperlink">
    <w:name w:val="Hyperlink"/>
    <w:uiPriority w:val="99"/>
    <w:unhideWhenUsed/>
    <w:rsid w:val="00474F9C"/>
    <w:rPr>
      <w:color w:val="0000FF"/>
      <w:u w:val="single"/>
    </w:rPr>
  </w:style>
  <w:style w:type="paragraph" w:styleId="ListParagraph">
    <w:name w:val="List Paragraph"/>
    <w:basedOn w:val="Normal"/>
    <w:uiPriority w:val="34"/>
    <w:qFormat/>
    <w:rsid w:val="00474F9C"/>
    <w:pPr>
      <w:ind w:left="720"/>
      <w:contextualSpacing/>
    </w:pPr>
  </w:style>
  <w:style w:type="paragraph" w:styleId="Header">
    <w:name w:val="header"/>
    <w:basedOn w:val="Normal"/>
    <w:link w:val="HeaderChar"/>
    <w:uiPriority w:val="99"/>
    <w:unhideWhenUsed/>
    <w:rsid w:val="00DE449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E449D"/>
  </w:style>
  <w:style w:type="paragraph" w:styleId="Footer">
    <w:name w:val="footer"/>
    <w:basedOn w:val="Normal"/>
    <w:link w:val="FooterChar"/>
    <w:uiPriority w:val="99"/>
    <w:unhideWhenUsed/>
    <w:rsid w:val="00DE449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E4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25425-noteikumi-par-aktivo-nodarbinatibas-pasakumu-un-preventivo-bezdarba-samazinasanas-pasakumu-organizesanas-un-finansesana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sfondi.lv/izvertejumi-1" TargetMode="External"/><Relationship Id="rId4" Type="http://schemas.openxmlformats.org/officeDocument/2006/relationships/settings" Target="settings.xml"/><Relationship Id="rId9" Type="http://schemas.openxmlformats.org/officeDocument/2006/relationships/hyperlink" Target="https://likumi.lv/ta/id/253579-nodarbinatibas-valsts-agenturas-nolikum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225425-noteikumi-par-aktivo-nodarbinatibas-pasakumu-un-preventivo-bezdarba-samazinasanas-pasakumu-organizesanas-un-finansesan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B7209-F78A-4A47-BA05-EEF5E407F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1097</Words>
  <Characters>6256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LM</Company>
  <LinksUpToDate>false</LinksUpToDate>
  <CharactersWithSpaces>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Alona Tutova</dc:creator>
  <cp:keywords/>
  <dc:description/>
  <cp:lastModifiedBy>Anna Pukse </cp:lastModifiedBy>
  <cp:revision>15</cp:revision>
  <dcterms:created xsi:type="dcterms:W3CDTF">2022-04-28T16:40:00Z</dcterms:created>
  <dcterms:modified xsi:type="dcterms:W3CDTF">2022-10-27T07:47:00Z</dcterms:modified>
</cp:coreProperties>
</file>